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80" w:lineRule="auto"/>
        <w:jc w:val="center"/>
        <w:rPr/>
        <w:sectPr>
          <w:headerReference r:id="rId7" w:type="default"/>
          <w:headerReference r:id="rId8" w:type="first"/>
          <w:footerReference r:id="rId9" w:type="default"/>
          <w:footerReference r:id="rId10" w:type="first"/>
          <w:pgSz w:h="16838" w:w="11906" w:orient="portrait"/>
          <w:pgMar w:bottom="170" w:top="170" w:left="170" w:right="170" w:header="0" w:footer="0"/>
          <w:pgNumType w:start="1"/>
        </w:sectPr>
      </w:pPr>
      <w:r w:rsidDel="00000000" w:rsidR="00000000" w:rsidRPr="00000000">
        <w:rPr/>
        <w:drawing>
          <wp:anchor allowOverlap="1" behindDoc="0" distB="0" distT="0" distL="114300" distR="114300" hidden="0" layoutInCell="1" locked="0" relativeHeight="0" simplePos="0">
            <wp:simplePos x="0" y="0"/>
            <wp:positionH relativeFrom="margin">
              <wp:posOffset>-3297553</wp:posOffset>
            </wp:positionH>
            <wp:positionV relativeFrom="margin">
              <wp:posOffset>1085215</wp:posOffset>
            </wp:positionV>
            <wp:extent cx="14236700" cy="8009890"/>
            <wp:effectExtent b="0" l="0" r="0" t="0"/>
            <wp:wrapSquare wrapText="bothSides" distB="0" distT="0" distL="114300" distR="114300"/>
            <wp:docPr id="30"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rot="16200000">
                      <a:off x="0" y="0"/>
                      <a:ext cx="14236700" cy="800989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2463800</wp:posOffset>
                </wp:positionH>
                <wp:positionV relativeFrom="paragraph">
                  <wp:posOffset>617220</wp:posOffset>
                </wp:positionV>
                <wp:extent cx="4048125" cy="1866451"/>
                <wp:effectExtent b="0" l="0" r="0" t="0"/>
                <wp:wrapNone/>
                <wp:docPr id="26" name=""/>
                <a:graphic>
                  <a:graphicData uri="http://schemas.microsoft.com/office/word/2010/wordprocessingShape">
                    <wps:wsp>
                      <wps:cNvSpPr/>
                      <wps:cNvPr id="2" name="Shape 2"/>
                      <wps:spPr>
                        <a:xfrm>
                          <a:off x="3333050" y="3077700"/>
                          <a:ext cx="4624800" cy="14046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Arial Black" w:cs="Arial Black" w:eastAsia="Arial Black" w:hAnsi="Arial Black"/>
                                <w:b w:val="0"/>
                                <w:i w:val="0"/>
                                <w:smallCaps w:val="0"/>
                                <w:strike w:val="0"/>
                                <w:color w:val="ff0000"/>
                                <w:sz w:val="60"/>
                                <w:vertAlign w:val="baseline"/>
                              </w:rPr>
                              <w:t xml:space="preserve">IO1 - </w:t>
                            </w:r>
                            <w:r w:rsidDel="00000000" w:rsidR="00000000" w:rsidRPr="00000000">
                              <w:rPr>
                                <w:rFonts w:ascii="Arial Black" w:cs="Arial Black" w:eastAsia="Arial Black" w:hAnsi="Arial Black"/>
                                <w:b w:val="0"/>
                                <w:i w:val="0"/>
                                <w:smallCaps w:val="0"/>
                                <w:strike w:val="0"/>
                                <w:color w:val="ff0000"/>
                                <w:sz w:val="60"/>
                                <w:vertAlign w:val="baseline"/>
                              </w:rPr>
                              <w:t xml:space="preserve">Curriculum </w:t>
                            </w:r>
                            <w:r w:rsidDel="00000000" w:rsidR="00000000" w:rsidRPr="00000000">
                              <w:rPr>
                                <w:rFonts w:ascii="Arial Black" w:cs="Arial Black" w:eastAsia="Arial Black" w:hAnsi="Arial Black"/>
                                <w:b w:val="0"/>
                                <w:i w:val="0"/>
                                <w:smallCaps w:val="0"/>
                                <w:strike w:val="0"/>
                                <w:color w:val="ff0000"/>
                                <w:sz w:val="60"/>
                                <w:vertAlign w:val="baseline"/>
                              </w:rPr>
                              <w:t xml:space="preserve">für digitales Geschichtenerzählen </w:t>
                            </w:r>
                            <w:r w:rsidDel="00000000" w:rsidR="00000000" w:rsidRPr="00000000">
                              <w:rPr>
                                <w:rFonts w:ascii="Arial Black" w:cs="Arial Black" w:eastAsia="Arial Black" w:hAnsi="Arial Black"/>
                                <w:b w:val="0"/>
                                <w:i w:val="0"/>
                                <w:smallCaps w:val="0"/>
                                <w:strike w:val="0"/>
                                <w:color w:val="000000"/>
                                <w:sz w:val="60"/>
                                <w:vertAlign w:val="baseline"/>
                              </w:rPr>
                              <w:br w:type="textWrapping"/>
                            </w:r>
                            <w:r w:rsidDel="00000000" w:rsidR="00000000" w:rsidRPr="00000000">
                              <w:rPr>
                                <w:rFonts w:ascii="Arial Black" w:cs="Arial Black" w:eastAsia="Arial Black" w:hAnsi="Arial Black"/>
                                <w:b w:val="0"/>
                                <w:i w:val="0"/>
                                <w:smallCaps w:val="0"/>
                                <w:strike w:val="0"/>
                                <w:color w:val="ffc000"/>
                                <w:sz w:val="60"/>
                                <w:vertAlign w:val="baseline"/>
                              </w:rPr>
                              <w:t xml:space="preserve">Modul 2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2463800</wp:posOffset>
                </wp:positionH>
                <wp:positionV relativeFrom="paragraph">
                  <wp:posOffset>617220</wp:posOffset>
                </wp:positionV>
                <wp:extent cx="4048125" cy="1866451"/>
                <wp:effectExtent b="0" l="0" r="0" t="0"/>
                <wp:wrapNone/>
                <wp:docPr id="26"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4048125" cy="1866451"/>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4128770</wp:posOffset>
            </wp:positionH>
            <wp:positionV relativeFrom="paragraph">
              <wp:posOffset>6671944</wp:posOffset>
            </wp:positionV>
            <wp:extent cx="2444750" cy="3160395"/>
            <wp:effectExtent b="0" l="0" r="0" t="0"/>
            <wp:wrapNone/>
            <wp:docPr id="32"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444750" cy="3160395"/>
                    </a:xfrm>
                    <a:prstGeom prst="rect"/>
                    <a:ln/>
                  </pic:spPr>
                </pic:pic>
              </a:graphicData>
            </a:graphic>
          </wp:anchor>
        </w:drawing>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Arial Black" w:cs="Arial Black" w:eastAsia="Arial Black" w:hAnsi="Arial Black"/>
          <w:b w:val="0"/>
          <w:i w:val="0"/>
          <w:smallCaps w:val="0"/>
          <w:strike w:val="0"/>
          <w:color w:val="ff0000"/>
          <w:sz w:val="40"/>
          <w:szCs w:val="40"/>
          <w:u w:val="none"/>
          <w:shd w:fill="auto" w:val="clear"/>
          <w:vertAlign w:val="baseline"/>
        </w:rPr>
      </w:pPr>
      <w:r w:rsidDel="00000000" w:rsidR="00000000" w:rsidRPr="00000000">
        <w:rPr>
          <w:rFonts w:ascii="Arial Black" w:cs="Arial Black" w:eastAsia="Arial Black" w:hAnsi="Arial Black"/>
          <w:b w:val="0"/>
          <w:i w:val="0"/>
          <w:smallCaps w:val="0"/>
          <w:strike w:val="0"/>
          <w:color w:val="ff0000"/>
          <w:sz w:val="40"/>
          <w:szCs w:val="40"/>
          <w:u w:val="none"/>
          <w:shd w:fill="auto" w:val="clear"/>
          <w:vertAlign w:val="baseline"/>
          <w:rtl w:val="0"/>
        </w:rPr>
        <w:t xml:space="preserve">IO1 - </w:t>
      </w:r>
      <w:r w:rsidDel="00000000" w:rsidR="00000000" w:rsidRPr="00000000">
        <w:rPr>
          <w:rFonts w:ascii="Arial Black" w:cs="Arial Black" w:eastAsia="Arial Black" w:hAnsi="Arial Black"/>
          <w:color w:val="ff0000"/>
          <w:sz w:val="40"/>
          <w:szCs w:val="40"/>
          <w:rtl w:val="0"/>
        </w:rPr>
        <w:t xml:space="preserve">Curriculum</w:t>
      </w:r>
      <w:r w:rsidDel="00000000" w:rsidR="00000000" w:rsidRPr="00000000">
        <w:rPr>
          <w:rFonts w:ascii="Arial Black" w:cs="Arial Black" w:eastAsia="Arial Black" w:hAnsi="Arial Black"/>
          <w:b w:val="0"/>
          <w:i w:val="0"/>
          <w:smallCaps w:val="0"/>
          <w:strike w:val="0"/>
          <w:color w:val="ff0000"/>
          <w:sz w:val="40"/>
          <w:szCs w:val="40"/>
          <w:u w:val="none"/>
          <w:shd w:fill="auto" w:val="clear"/>
          <w:vertAlign w:val="baseline"/>
          <w:rtl w:val="0"/>
        </w:rPr>
        <w:t xml:space="preserve"> für digitales Geschichtenerzählen </w:t>
      </w:r>
    </w:p>
    <w:p w:rsidR="00000000" w:rsidDel="00000000" w:rsidP="00000000" w:rsidRDefault="00000000" w:rsidRPr="00000000" w14:paraId="0000000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Arial Black" w:cs="Arial Black" w:eastAsia="Arial Black" w:hAnsi="Arial Black"/>
          <w:b w:val="0"/>
          <w:i w:val="0"/>
          <w:smallCaps w:val="0"/>
          <w:strike w:val="0"/>
          <w:color w:val="ffc000"/>
          <w:sz w:val="30"/>
          <w:szCs w:val="30"/>
          <w:u w:val="none"/>
          <w:shd w:fill="auto" w:val="clear"/>
          <w:vertAlign w:val="baseline"/>
        </w:rPr>
      </w:pPr>
      <w:r w:rsidDel="00000000" w:rsidR="00000000" w:rsidRPr="00000000">
        <w:rPr>
          <w:rFonts w:ascii="Arial Black" w:cs="Arial Black" w:eastAsia="Arial Black" w:hAnsi="Arial Black"/>
          <w:b w:val="0"/>
          <w:i w:val="0"/>
          <w:smallCaps w:val="0"/>
          <w:strike w:val="0"/>
          <w:color w:val="ffc000"/>
          <w:sz w:val="30"/>
          <w:szCs w:val="30"/>
          <w:u w:val="none"/>
          <w:shd w:fill="auto" w:val="clear"/>
          <w:vertAlign w:val="baseline"/>
          <w:rtl w:val="0"/>
        </w:rPr>
        <w:t xml:space="preserve">Modul 2</w:t>
      </w:r>
    </w:p>
    <w:p w:rsidR="00000000" w:rsidDel="00000000" w:rsidP="00000000" w:rsidRDefault="00000000" w:rsidRPr="00000000" w14:paraId="00000004">
      <w:pPr>
        <w:tabs>
          <w:tab w:val="left" w:pos="2088"/>
        </w:tabs>
        <w:rPr>
          <w:rFonts w:ascii="Arial" w:cs="Arial" w:eastAsia="Arial" w:hAnsi="Arial"/>
          <w:sz w:val="24"/>
          <w:szCs w:val="24"/>
        </w:rPr>
      </w:pPr>
      <w:r w:rsidDel="00000000" w:rsidR="00000000" w:rsidRPr="00000000">
        <w:rPr>
          <w:rtl w:val="0"/>
        </w:rPr>
      </w:r>
    </w:p>
    <w:tbl>
      <w:tblPr>
        <w:tblStyle w:val="Table1"/>
        <w:tblW w:w="901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680"/>
        <w:gridCol w:w="7335"/>
        <w:tblGridChange w:id="0">
          <w:tblGrid>
            <w:gridCol w:w="1680"/>
            <w:gridCol w:w="7335"/>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538135" w:val="clear"/>
            <w:tcMar>
              <w:top w:w="80.0" w:type="dxa"/>
              <w:left w:w="80.0" w:type="dxa"/>
              <w:bottom w:w="80.0" w:type="dxa"/>
              <w:right w:w="80.0" w:type="dxa"/>
            </w:tcMar>
          </w:tcPr>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Titel des Moduls: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Ich als Geschichtenerzähler</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538135" w:val="clear"/>
            <w:tcMar>
              <w:top w:w="80.0" w:type="dxa"/>
              <w:left w:w="80.0" w:type="dxa"/>
              <w:bottom w:w="80.0" w:type="dxa"/>
              <w:right w:w="80.0" w:type="dxa"/>
            </w:tcMar>
          </w:tcPr>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Titel der Aktivität: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48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Video: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Afrikanische Geschichte als Werkzeug für den Wandel nutzen</w:t>
            </w:r>
            <w:r w:rsidDel="00000000" w:rsidR="00000000" w:rsidRPr="00000000">
              <w:rPr>
                <w:rFonts w:ascii="Calibri" w:cs="Calibri" w:eastAsia="Calibri" w:hAnsi="Calibri"/>
                <w:sz w:val="24"/>
                <w:szCs w:val="24"/>
                <w:rtl w:val="0"/>
              </w:rPr>
              <w:t xml:space="preserve">"</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538135" w:val="clear"/>
            <w:tcMar>
              <w:top w:w="80.0" w:type="dxa"/>
              <w:left w:w="80.0" w:type="dxa"/>
              <w:bottom w:w="80.0" w:type="dxa"/>
              <w:right w:w="80.0" w:type="dxa"/>
            </w:tcMar>
          </w:tcPr>
          <w:p w:rsidR="00000000" w:rsidDel="00000000" w:rsidP="00000000" w:rsidRDefault="00000000" w:rsidRPr="00000000" w14:paraId="00000009">
            <w:pPr>
              <w:jc w:val="center"/>
              <w:rPr>
                <w:rFonts w:ascii="Calibri" w:cs="Calibri" w:eastAsia="Calibri" w:hAnsi="Calibri"/>
                <w:color w:val="ffffff"/>
                <w:sz w:val="24"/>
                <w:szCs w:val="24"/>
              </w:rPr>
            </w:pPr>
            <w:r w:rsidDel="00000000" w:rsidR="00000000" w:rsidRPr="00000000">
              <w:rPr>
                <w:rFonts w:ascii="Calibri" w:cs="Calibri" w:eastAsia="Calibri" w:hAnsi="Calibri"/>
                <w:b w:val="1"/>
                <w:color w:val="ffffff"/>
                <w:sz w:val="24"/>
                <w:szCs w:val="24"/>
                <w:rtl w:val="0"/>
              </w:rPr>
              <w:t xml:space="preserve">Dauer der Aktivität: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0A">
            <w:pPr>
              <w:shd w:fill="ffffff" w:val="clear"/>
              <w:spacing w:after="100" w:before="1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Minuten</w:t>
            </w:r>
          </w:p>
          <w:p w:rsidR="00000000" w:rsidDel="00000000" w:rsidP="00000000" w:rsidRDefault="00000000" w:rsidRPr="00000000" w14:paraId="0000000B">
            <w:pPr>
              <w:shd w:fill="ffffff" w:val="clear"/>
              <w:spacing w:after="100" w:before="100" w:lineRule="auto"/>
              <w:rPr>
                <w:rFonts w:ascii="Calibri" w:cs="Calibri" w:eastAsia="Calibri" w:hAnsi="Calibri"/>
                <w:sz w:val="24"/>
                <w:szCs w:val="24"/>
              </w:rPr>
            </w:pPr>
            <w:r w:rsidDel="00000000" w:rsidR="00000000" w:rsidRPr="00000000">
              <w:rPr>
                <w:rtl w:val="0"/>
              </w:rPr>
            </w:r>
          </w:p>
        </w:tc>
      </w:tr>
      <w:tr>
        <w:trPr>
          <w:cantSplit w:val="0"/>
          <w:trHeight w:val="2031" w:hRule="atLeast"/>
          <w:tblHeader w:val="0"/>
        </w:trPr>
        <w:tc>
          <w:tcPr>
            <w:tcBorders>
              <w:top w:color="000000" w:space="0" w:sz="4" w:val="single"/>
              <w:left w:color="000000" w:space="0" w:sz="4" w:val="single"/>
              <w:bottom w:color="000000" w:space="0" w:sz="4" w:val="single"/>
              <w:right w:color="000000" w:space="0" w:sz="4" w:val="single"/>
            </w:tcBorders>
            <w:shd w:fill="538135" w:val="clear"/>
            <w:tcMar>
              <w:top w:w="80.0" w:type="dxa"/>
              <w:left w:w="80.0" w:type="dxa"/>
              <w:bottom w:w="80.0" w:type="dxa"/>
              <w:right w:w="80.0" w:type="dxa"/>
            </w:tcMar>
          </w:tcPr>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Warum diese Ressource nutzen?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Bei dieser Aktivität sehen die Lernenden ein inspirierendes Video über die Geschichte Afrikas. </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highlight w:val="yellow"/>
                <w:u w:val="none"/>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Sie werden auch erkennen, wie das Erzählen von Geschichten einen Sinn für Geschichte, Werte und Traditionen vermitteln kann. Die Kunst und Techniken des Geschichtenerzählens. Sie werden lernen, dass Geschichten das interkulturelle Verständnis und die Kommunikation zwischen Menschen fördern können. Sie werden auch erkennen, wie wichtig die Körpersprache ist, um eine Botschaft zu vermitteln.</w:t>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242" w:hRule="atLeast"/>
          <w:tblHeader w:val="0"/>
        </w:trPr>
        <w:tc>
          <w:tcPr>
            <w:tcBorders>
              <w:top w:color="000000" w:space="0" w:sz="4" w:val="single"/>
              <w:left w:color="000000" w:space="0" w:sz="4" w:val="single"/>
              <w:bottom w:color="000000" w:space="0" w:sz="4" w:val="single"/>
              <w:right w:color="000000" w:space="0" w:sz="4" w:val="single"/>
            </w:tcBorders>
            <w:shd w:fill="538135" w:val="clear"/>
            <w:tcMar>
              <w:top w:w="80.0" w:type="dxa"/>
              <w:left w:w="80.0" w:type="dxa"/>
              <w:bottom w:w="80.0" w:type="dxa"/>
              <w:right w:w="80.0" w:type="dxa"/>
            </w:tcMar>
          </w:tcPr>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Was bringt Ihnen die Nutzung dieser Ressource?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Mit </w:t>
            </w:r>
            <w:r w:rsidDel="00000000" w:rsidR="00000000" w:rsidRPr="00000000">
              <w:rPr>
                <w:rFonts w:ascii="Calibri" w:cs="Calibri" w:eastAsia="Calibri" w:hAnsi="Calibri"/>
                <w:i w:val="1"/>
                <w:sz w:val="24"/>
                <w:szCs w:val="24"/>
                <w:rtl w:val="0"/>
              </w:rPr>
              <w:t xml:space="preserve">diesen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Aktivitäten werden die Lernenden in der Lage sein, ihre Geschichten </w:t>
            </w:r>
            <w:r w:rsidDel="00000000" w:rsidR="00000000" w:rsidRPr="00000000">
              <w:rPr>
                <w:rFonts w:ascii="Calibri" w:cs="Calibri" w:eastAsia="Calibri" w:hAnsi="Calibri"/>
                <w:i w:val="1"/>
                <w:sz w:val="24"/>
                <w:szCs w:val="24"/>
                <w:rtl w:val="0"/>
              </w:rPr>
              <w:t xml:space="preserve">zu erforschen</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verschiedene Arten des Geschichtenerzählens kennenzulernen, ein guter Sprecher zu sein und ihre eigene Stimme als Geschichtenerzähler zu finden. Darüber hinaus lernen sie, ihre Geschichten zu nutzen, um andere </w:t>
            </w:r>
            <w:r w:rsidDel="00000000" w:rsidR="00000000" w:rsidRPr="00000000">
              <w:rPr>
                <w:rFonts w:ascii="Calibri" w:cs="Calibri" w:eastAsia="Calibri" w:hAnsi="Calibri"/>
                <w:i w:val="1"/>
                <w:sz w:val="24"/>
                <w:szCs w:val="24"/>
                <w:rtl w:val="0"/>
              </w:rPr>
              <w:t xml:space="preserve">zu sensibilisieren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und eine andere Sichtweise </w:t>
            </w:r>
            <w:r w:rsidDel="00000000" w:rsidR="00000000" w:rsidRPr="00000000">
              <w:rPr>
                <w:rFonts w:ascii="Calibri" w:cs="Calibri" w:eastAsia="Calibri" w:hAnsi="Calibri"/>
                <w:i w:val="1"/>
                <w:sz w:val="24"/>
                <w:szCs w:val="24"/>
                <w:rtl w:val="0"/>
              </w:rPr>
              <w:t xml:space="preserve">auf Afrika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und AfrikanerInnen zu </w:t>
            </w:r>
            <w:r w:rsidDel="00000000" w:rsidR="00000000" w:rsidRPr="00000000">
              <w:rPr>
                <w:rFonts w:ascii="Calibri" w:cs="Calibri" w:eastAsia="Calibri" w:hAnsi="Calibri"/>
                <w:i w:val="1"/>
                <w:sz w:val="24"/>
                <w:szCs w:val="24"/>
                <w:rtl w:val="0"/>
              </w:rPr>
              <w:t xml:space="preserve">vermitteln</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942" w:hRule="atLeast"/>
          <w:tblHeader w:val="0"/>
        </w:trPr>
        <w:tc>
          <w:tcPr>
            <w:tcBorders>
              <w:top w:color="000000" w:space="0" w:sz="4" w:val="single"/>
              <w:left w:color="000000" w:space="0" w:sz="4" w:val="single"/>
              <w:bottom w:color="000000" w:space="0" w:sz="4" w:val="single"/>
              <w:right w:color="000000" w:space="0" w:sz="4" w:val="single"/>
            </w:tcBorders>
            <w:shd w:fill="538135" w:val="clear"/>
            <w:tcMar>
              <w:top w:w="80.0" w:type="dxa"/>
              <w:left w:w="80.0" w:type="dxa"/>
              <w:bottom w:w="80.0" w:type="dxa"/>
              <w:right w:w="80.0" w:type="dxa"/>
            </w:tcMar>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Link zu zusätzlichen Ressourcen oder Lesematerialien: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Quelle: Marks, S. (2019). Southern Africa. In: Encyclopædia Britannica. </w:t>
            </w:r>
            <w:hyperlink r:id="rId14">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https://www.</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britannica.com/place/Southern-Africa </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942" w:hRule="atLeast"/>
          <w:tblHeader w:val="0"/>
        </w:trPr>
        <w:tc>
          <w:tcPr>
            <w:tcBorders>
              <w:top w:color="000000" w:space="0" w:sz="4" w:val="single"/>
              <w:left w:color="000000" w:space="0" w:sz="4" w:val="single"/>
              <w:bottom w:color="000000" w:space="0" w:sz="4" w:val="single"/>
              <w:right w:color="000000" w:space="0" w:sz="4" w:val="single"/>
            </w:tcBorders>
            <w:shd w:fill="538135" w:val="clear"/>
            <w:tcMar>
              <w:top w:w="80.0" w:type="dxa"/>
              <w:left w:w="80.0" w:type="dxa"/>
              <w:bottom w:w="80.0" w:type="dxa"/>
              <w:right w:w="80.0" w:type="dxa"/>
            </w:tcMar>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Referenzen/Quellen:</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Quelle: Zeinab Badawi. (2017). Afrikanische Geschichte als Werkzeug für den Wandel nutzen. In TED. </w:t>
            </w:r>
            <w:hyperlink r:id="rId15">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https://www.</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ted.com/talks/zeinab_badawi_using_african_history_as_a_tool_for_change </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240" w:lineRule="auto"/>
        <w:ind w:left="0" w:right="0" w:firstLine="0"/>
        <w:jc w:val="both"/>
        <w:rPr>
          <w:rFonts w:ascii="Source Sans Pro" w:cs="Source Sans Pro" w:eastAsia="Source Sans Pro" w:hAnsi="Source Sans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rPr/>
      </w:pPr>
      <w:r w:rsidDel="00000000" w:rsidR="00000000" w:rsidRPr="00000000">
        <w:rPr/>
        <w:drawing>
          <wp:anchor allowOverlap="1" behindDoc="0" distB="0" distT="0" distL="114300" distR="114300" hidden="0" layoutInCell="1" locked="0" relativeHeight="0" simplePos="0">
            <wp:simplePos x="0" y="0"/>
            <wp:positionH relativeFrom="margin">
              <wp:align>center</wp:align>
            </wp:positionH>
            <wp:positionV relativeFrom="page">
              <wp:posOffset>-312418</wp:posOffset>
            </wp:positionV>
            <wp:extent cx="7665085" cy="10838016"/>
            <wp:effectExtent b="0" l="0" r="0" t="0"/>
            <wp:wrapSquare wrapText="bothSides" distB="0" distT="0" distL="114300" distR="114300"/>
            <wp:docPr id="31"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7665085" cy="10838016"/>
                    </a:xfrm>
                    <a:prstGeom prst="rect"/>
                    <a:ln/>
                  </pic:spPr>
                </pic:pic>
              </a:graphicData>
            </a:graphic>
          </wp:anchor>
        </w:drawing>
      </w:r>
      <w:r w:rsidDel="00000000" w:rsidR="00000000" w:rsidRPr="00000000">
        <w:rPr>
          <w:rtl w:val="0"/>
        </w:rPr>
        <w:t xml:space="preserve">     </w:t>
      </w:r>
    </w:p>
    <w:sectPr>
      <w:headerReference r:id="rId17" w:type="first"/>
      <w:footerReference r:id="rId18" w:type="first"/>
      <w:type w:val="nextPage"/>
      <w:pgSz w:h="16838" w:w="11906" w:orient="portrait"/>
      <w:pgMar w:bottom="1440" w:top="1440" w:left="1440" w:right="1440" w:header="0"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Arial Black">
    <w:embedRegular w:fontKey="{00000000-0000-0000-0000-000000000000}" r:id="rId1" w:subsetted="0"/>
  </w:font>
  <w:font w:name="Source Sans Pr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-1052511</wp:posOffset>
          </wp:positionH>
          <wp:positionV relativeFrom="paragraph">
            <wp:posOffset>-434338</wp:posOffset>
          </wp:positionV>
          <wp:extent cx="8796655" cy="600710"/>
          <wp:effectExtent b="0" l="0" r="0" t="0"/>
          <wp:wrapNone/>
          <wp:docPr id="27" name="image6.png"/>
          <a:graphic>
            <a:graphicData uri="http://schemas.openxmlformats.org/drawingml/2006/picture">
              <pic:pic>
                <pic:nvPicPr>
                  <pic:cNvPr id="0" name="image6.png"/>
                  <pic:cNvPicPr preferRelativeResize="0"/>
                </pic:nvPicPr>
                <pic:blipFill>
                  <a:blip r:embed="rId1"/>
                  <a:srcRect b="0" l="0" r="0" t="13686"/>
                  <a:stretch>
                    <a:fillRect/>
                  </a:stretch>
                </pic:blipFill>
                <pic:spPr>
                  <a:xfrm>
                    <a:off x="0" y="0"/>
                    <a:ext cx="8796655" cy="60071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304000" cy="502468"/>
          <wp:effectExtent b="0" l="0" r="0" t="0"/>
          <wp:docPr id="2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304000" cy="502468"/>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17611" cy="640083"/>
          <wp:effectExtent b="0" l="0" r="0" t="0"/>
          <wp:docPr id="28"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417611" cy="640083"/>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Calibri" w:cs="Calibri" w:eastAsia="Calibri" w:hAnsi="Calibri"/>
      <w:color w:val="225c99"/>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Calibri" w:cs="Calibri" w:eastAsia="Calibri" w:hAnsi="Calibri"/>
      <w:color w:val="225c99"/>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link w:val="Ttulo1Carter"/>
    <w:uiPriority w:val="9"/>
    <w:qFormat w:val="1"/>
    <w:rsid w:val="002B6AE4"/>
    <w:pPr>
      <w:keepNext w:val="1"/>
      <w:keepLines w:val="1"/>
      <w:spacing w:after="0" w:before="240" w:line="240" w:lineRule="auto"/>
      <w:outlineLvl w:val="0"/>
    </w:pPr>
    <w:rPr>
      <w:rFonts w:asciiTheme="majorHAnsi" w:cstheme="majorBidi" w:eastAsiaTheme="majorEastAsia" w:hAnsiTheme="majorHAnsi"/>
      <w:color w:val="225c99"/>
      <w:sz w:val="32"/>
      <w:szCs w:val="32"/>
    </w:rPr>
  </w:style>
  <w:style w:type="paragraph" w:styleId="Ttulo2">
    <w:name w:val="heading 2"/>
    <w:basedOn w:val="Normal"/>
    <w:next w:val="Normal"/>
    <w:link w:val="Ttulo2Carter"/>
    <w:uiPriority w:val="9"/>
    <w:unhideWhenUsed w:val="1"/>
    <w:qFormat w:val="1"/>
    <w:rsid w:val="00426F7D"/>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character" w:styleId="Tipodeletrapredefinidodopargraf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Cabealho">
    <w:name w:val="header"/>
    <w:basedOn w:val="Normal"/>
    <w:link w:val="CabealhoCarter"/>
    <w:uiPriority w:val="99"/>
    <w:unhideWhenUsed w:val="1"/>
    <w:rsid w:val="002B6AE4"/>
    <w:pPr>
      <w:tabs>
        <w:tab w:val="center" w:pos="4513"/>
        <w:tab w:val="right" w:pos="9026"/>
      </w:tabs>
      <w:spacing w:after="0" w:line="240" w:lineRule="auto"/>
    </w:pPr>
  </w:style>
  <w:style w:type="character" w:styleId="CabealhoCarter" w:customStyle="1">
    <w:name w:val="Cabeçalho Caráter"/>
    <w:basedOn w:val="Tipodeletrapredefinidodopargrafo"/>
    <w:link w:val="Cabealho"/>
    <w:uiPriority w:val="99"/>
    <w:rsid w:val="002B6AE4"/>
  </w:style>
  <w:style w:type="paragraph" w:styleId="Rodap">
    <w:name w:val="footer"/>
    <w:basedOn w:val="Normal"/>
    <w:link w:val="RodapCarter"/>
    <w:uiPriority w:val="99"/>
    <w:unhideWhenUsed w:val="1"/>
    <w:rsid w:val="002B6AE4"/>
    <w:pPr>
      <w:tabs>
        <w:tab w:val="center" w:pos="4513"/>
        <w:tab w:val="right" w:pos="9026"/>
      </w:tabs>
      <w:spacing w:after="0" w:line="240" w:lineRule="auto"/>
    </w:pPr>
  </w:style>
  <w:style w:type="character" w:styleId="RodapCarter" w:customStyle="1">
    <w:name w:val="Rodapé Caráter"/>
    <w:basedOn w:val="Tipodeletrapredefinidodopargrafo"/>
    <w:link w:val="Rodap"/>
    <w:uiPriority w:val="99"/>
    <w:rsid w:val="002B6AE4"/>
  </w:style>
  <w:style w:type="character" w:styleId="Ttulo1Carter" w:customStyle="1">
    <w:name w:val="Título 1 Caráter"/>
    <w:basedOn w:val="Tipodeletrapredefinidodopargrafo"/>
    <w:link w:val="Ttulo1"/>
    <w:uiPriority w:val="9"/>
    <w:rsid w:val="002B6AE4"/>
    <w:rPr>
      <w:rFonts w:asciiTheme="majorHAnsi" w:cstheme="majorBidi" w:eastAsiaTheme="majorEastAsia" w:hAnsiTheme="majorHAnsi"/>
      <w:color w:val="225c99"/>
      <w:sz w:val="32"/>
      <w:szCs w:val="32"/>
    </w:rPr>
  </w:style>
  <w:style w:type="character" w:styleId="Ttulo2Carter" w:customStyle="1">
    <w:name w:val="Título 2 Caráter"/>
    <w:basedOn w:val="Tipodeletrapredefinidodopargrafo"/>
    <w:link w:val="Ttulo2"/>
    <w:uiPriority w:val="9"/>
    <w:rsid w:val="00426F7D"/>
    <w:rPr>
      <w:rFonts w:asciiTheme="majorHAnsi" w:cstheme="majorBidi" w:eastAsiaTheme="majorEastAsia" w:hAnsiTheme="majorHAnsi"/>
      <w:color w:val="2f5496" w:themeColor="accent1" w:themeShade="0000BF"/>
      <w:sz w:val="26"/>
      <w:szCs w:val="26"/>
    </w:rPr>
  </w:style>
  <w:style w:type="paragraph" w:styleId="NormalWeb">
    <w:name w:val="Normal (Web)"/>
    <w:basedOn w:val="Normal"/>
    <w:uiPriority w:val="99"/>
    <w:unhideWhenUsed w:val="1"/>
    <w:rsid w:val="00426F7D"/>
    <w:pPr>
      <w:spacing w:after="100" w:afterAutospacing="1" w:before="100" w:beforeAutospacing="1" w:line="240" w:lineRule="auto"/>
    </w:pPr>
    <w:rPr>
      <w:rFonts w:ascii="Times New Roman" w:cs="Times New Roman" w:eastAsia="Times New Roman" w:hAnsi="Times New Roman"/>
      <w:sz w:val="24"/>
      <w:szCs w:val="24"/>
    </w:rPr>
  </w:style>
  <w:style w:type="paragraph" w:styleId="Body" w:customStyle="1">
    <w:name w:val="Body"/>
    <w:rsid w:val="00B12826"/>
    <w:pPr>
      <w:spacing w:after="0" w:line="240" w:lineRule="auto"/>
    </w:pPr>
    <w:rPr>
      <w:rFonts w:ascii="Calibri" w:cs="Calibri" w:eastAsia="Calibri" w:hAnsi="Calibri"/>
      <w:color w:val="000000"/>
      <w:sz w:val="24"/>
      <w:szCs w:val="24"/>
      <w:u w:color="000000"/>
      <w:lang w:eastAsia="en-GB" w:val="en-GB"/>
    </w:rPr>
  </w:style>
  <w:style w:type="paragraph" w:styleId="Default" w:customStyle="1">
    <w:name w:val="Default"/>
    <w:rsid w:val="00B12826"/>
    <w:pPr>
      <w:spacing w:after="0" w:line="240" w:lineRule="auto"/>
    </w:pPr>
    <w:rPr>
      <w:rFonts w:ascii="Helvetica Neue" w:cs="Arial Unicode MS" w:eastAsia="Arial Unicode MS" w:hAnsi="Helvetica Neue"/>
      <w:color w:val="000000"/>
      <w:lang w:eastAsia="en-GB" w:val="en-US"/>
    </w:rPr>
  </w:style>
  <w:style w:type="paragraph" w:styleId="Heading" w:customStyle="1">
    <w:name w:val="Heading"/>
    <w:rsid w:val="00B12826"/>
    <w:pPr>
      <w:spacing w:after="100" w:before="100" w:line="240" w:lineRule="auto"/>
      <w:outlineLvl w:val="0"/>
    </w:pPr>
    <w:rPr>
      <w:rFonts w:ascii="Times New Roman" w:cs="Arial Unicode MS" w:eastAsia="Arial Unicode MS" w:hAnsi="Times New Roman"/>
      <w:b w:val="1"/>
      <w:bCs w:val="1"/>
      <w:color w:val="000000"/>
      <w:kern w:val="36"/>
      <w:sz w:val="48"/>
      <w:szCs w:val="48"/>
      <w:u w:color="000000"/>
      <w:lang w:eastAsia="en-GB" w:val="en-US"/>
    </w:rPr>
  </w:style>
  <w:style w:type="table" w:styleId="TableNormal1" w:customStyle="1">
    <w:name w:val="Table Normal1"/>
    <w:rsid w:val="00B12826"/>
    <w:pPr>
      <w:spacing w:after="0" w:line="240" w:lineRule="auto"/>
    </w:pPr>
    <w:rPr>
      <w:rFonts w:ascii="Times New Roman" w:cs="Times New Roman" w:eastAsia="Arial Unicode MS" w:hAnsi="Times New Roman"/>
      <w:sz w:val="20"/>
      <w:szCs w:val="20"/>
      <w:bdr w:color="auto" w:frame="1" w:space="0" w:sz="0" w:val="none"/>
      <w:lang w:eastAsia="en-GB" w:val="en-GB"/>
    </w:rPr>
    <w:tblPr>
      <w:tblCellMar>
        <w:top w:w="0.0" w:type="dxa"/>
        <w:left w:w="0.0" w:type="dxa"/>
        <w:bottom w:w="0.0" w:type="dxa"/>
        <w:right w:w="0.0" w:type="dxa"/>
      </w:tblCellMar>
    </w:tblPr>
  </w:style>
  <w:style w:type="character" w:styleId="Hiperligao">
    <w:name w:val="Hyperlink"/>
    <w:basedOn w:val="Tipodeletrapredefinidodopargrafo"/>
    <w:uiPriority w:val="99"/>
    <w:unhideWhenUsed w:val="1"/>
    <w:rsid w:val="00597A11"/>
    <w:rPr>
      <w:color w:val="0563c1" w:themeColor="hyperlink"/>
      <w:u w:val="single"/>
    </w:rPr>
  </w:style>
  <w:style w:type="character" w:styleId="MenoNoResolvida">
    <w:name w:val="Unresolved Mention"/>
    <w:basedOn w:val="Tipodeletrapredefinidodopargrafo"/>
    <w:uiPriority w:val="99"/>
    <w:semiHidden w:val="1"/>
    <w:unhideWhenUsed w:val="1"/>
    <w:rsid w:val="00597A11"/>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footer" Target="footer1.xml"/><Relationship Id="rId13" Type="http://schemas.openxmlformats.org/officeDocument/2006/relationships/image" Target="media/image2.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hyperlink" Target="https://www.ted.com/talks/zeinab_badawi_using_african_history_as_a_tool_for_change" TargetMode="External"/><Relationship Id="rId14" Type="http://schemas.openxmlformats.org/officeDocument/2006/relationships/hyperlink" Target="https://www.britannica.com/place/Southern-Africa" TargetMode="External"/><Relationship Id="rId17" Type="http://schemas.openxmlformats.org/officeDocument/2006/relationships/header" Target="header3.xml"/><Relationship Id="rId16" Type="http://schemas.openxmlformats.org/officeDocument/2006/relationships/image" Target="media/image4.jp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Black-regular.ttf"/><Relationship Id="rId2" Type="http://schemas.openxmlformats.org/officeDocument/2006/relationships/font" Target="fonts/SourceSansPro-regular.ttf"/><Relationship Id="rId3" Type="http://schemas.openxmlformats.org/officeDocument/2006/relationships/font" Target="fonts/SourceSansPro-bold.ttf"/><Relationship Id="rId4" Type="http://schemas.openxmlformats.org/officeDocument/2006/relationships/font" Target="fonts/SourceSansPro-italic.ttf"/><Relationship Id="rId5" Type="http://schemas.openxmlformats.org/officeDocument/2006/relationships/font" Target="fonts/SourceSansPr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Aeymjfc/WfjRQXISsEcEF+TXMA==">AMUW2mULZeaXzug5LdAsOAaCrx8dtmjLyLfhO5wbQclUJm+PQCrxyVfEfiSXgTCa1n8FCGCnrThVjLA1Xo8aHtFHeC8TnMvByKX58d4IHb9rraYQHeLTfck=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